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SECOND GRADE SUPPLY LIST 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(20-30) Expo Brand Black dry erase markers (fine tip)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Wide-ruled composition notebook </w:t>
      </w:r>
    </w:p>
    <w:p w:rsidR="00000000" w:rsidDel="00000000" w:rsidP="00000000" w:rsidRDefault="00000000" w:rsidRPr="00000000" w14:paraId="00000005">
      <w:pPr>
        <w:ind w:left="0" w:firstLine="0"/>
        <w:rPr>
          <w:rFonts w:ascii="Alegreya" w:cs="Alegreya" w:eastAsia="Alegreya" w:hAnsi="Alegrey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b w:val="1"/>
          <w:sz w:val="28"/>
          <w:szCs w:val="28"/>
          <w:rtl w:val="0"/>
        </w:rPr>
        <w:t xml:space="preserve">Please label the following with your child’s name: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ESV Bible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Whiteboard eraser (magnetic if possible to attach to the side of the desk)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Metric/inches ruler (not bendable)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1-inch three-ring binder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Red sturdy plastic folder with pockets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Folder of your choice with pockets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Watercolor set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720" w:firstLine="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b w:val="1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b w:val="1"/>
          <w:sz w:val="28"/>
          <w:szCs w:val="28"/>
          <w:rtl w:val="0"/>
        </w:rPr>
        <w:t xml:space="preserve">(1) Zipper Pencil Art Pouch with the following: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12 Count colored pencils- sharpened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12 Count box Crayola broad-tip colored markers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24 Count box Crayola crayons </w:t>
      </w:r>
    </w:p>
    <w:p w:rsidR="00000000" w:rsidDel="00000000" w:rsidP="00000000" w:rsidRDefault="00000000" w:rsidRPr="00000000" w14:paraId="00000013">
      <w:pPr>
        <w:pageBreakBefore w:val="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b w:val="1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b w:val="1"/>
          <w:sz w:val="28"/>
          <w:szCs w:val="28"/>
          <w:rtl w:val="0"/>
        </w:rPr>
        <w:t xml:space="preserve">(1) Plastic Pencil Box with the following: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(12)  #2 Ticonderoga pencils, sharpened (half of these may stay at home until needed)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 Eraser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bookmarkStart w:colFirst="0" w:colLast="0" w:name="_y6uid1bdjwab" w:id="1"/>
      <w:bookmarkEnd w:id="1"/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Red pens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(16)  Glue sticks (half of these may stay at home until needed)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 (1)  Child-sized scissors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0" w:firstLine="0"/>
        <w:rPr>
          <w:rFonts w:ascii="Alegreya" w:cs="Alegreya" w:eastAsia="Alegreya" w:hAnsi="Alegrey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720" w:firstLine="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jc w:val="center"/>
      <w:rPr/>
    </w:pPr>
    <w:r w:rsidDel="00000000" w:rsidR="00000000" w:rsidRPr="00000000">
      <w:rPr>
        <w:color w:val="3f3f3f"/>
        <w:sz w:val="24"/>
        <w:szCs w:val="24"/>
      </w:rPr>
      <w:drawing>
        <wp:inline distB="114300" distT="114300" distL="114300" distR="114300">
          <wp:extent cx="1262063" cy="1262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greya-regular.ttf"/><Relationship Id="rId6" Type="http://schemas.openxmlformats.org/officeDocument/2006/relationships/font" Target="fonts/Alegreya-bold.ttf"/><Relationship Id="rId7" Type="http://schemas.openxmlformats.org/officeDocument/2006/relationships/font" Target="fonts/Alegreya-italic.ttf"/><Relationship Id="rId8" Type="http://schemas.openxmlformats.org/officeDocument/2006/relationships/font" Target="fonts/Alegrey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